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788" w:rsidRDefault="001F5788" w:rsidP="001F5788">
      <w:pPr>
        <w:pStyle w:val="a5"/>
        <w:spacing w:before="75" w:beforeAutospacing="0" w:after="75" w:afterAutospacing="0"/>
        <w:jc w:val="center"/>
        <w:rPr>
          <w:rFonts w:ascii="Arial" w:hAnsi="Arial" w:cs="Arial" w:hint="eastAsia"/>
          <w:color w:val="000000"/>
        </w:rPr>
      </w:pPr>
      <w:r>
        <w:rPr>
          <w:rFonts w:ascii="Arial" w:hAnsi="Arial" w:cs="Arial"/>
          <w:color w:val="000000"/>
        </w:rPr>
        <w:t>关于嘉兴市本级进一步推广应用创新券的实施意见</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第一章</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第一章</w:t>
      </w:r>
      <w:r>
        <w:rPr>
          <w:rFonts w:ascii="Arial" w:hAnsi="Arial" w:cs="Arial"/>
          <w:color w:val="000000"/>
        </w:rPr>
        <w:t xml:space="preserve">  </w:t>
      </w:r>
      <w:r>
        <w:rPr>
          <w:rFonts w:ascii="Arial" w:hAnsi="Arial" w:cs="Arial"/>
          <w:color w:val="000000"/>
        </w:rPr>
        <w:t>总</w:t>
      </w:r>
      <w:r>
        <w:rPr>
          <w:rFonts w:ascii="Arial" w:hAnsi="Arial" w:cs="Arial"/>
          <w:color w:val="000000"/>
        </w:rPr>
        <w:t xml:space="preserve"> </w:t>
      </w:r>
      <w:r>
        <w:rPr>
          <w:rFonts w:ascii="Arial" w:hAnsi="Arial" w:cs="Arial"/>
          <w:color w:val="000000"/>
        </w:rPr>
        <w:t>则</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第一条</w:t>
      </w:r>
      <w:r>
        <w:rPr>
          <w:rFonts w:ascii="Arial" w:hAnsi="Arial" w:cs="Arial"/>
          <w:color w:val="000000"/>
        </w:rPr>
        <w:t xml:space="preserve"> </w:t>
      </w:r>
      <w:r>
        <w:rPr>
          <w:rFonts w:ascii="Arial" w:hAnsi="Arial" w:cs="Arial"/>
          <w:color w:val="000000"/>
        </w:rPr>
        <w:t>为贯彻落实《嘉兴市全面创新改革试验实施方案》（嘉委发〔</w:t>
      </w:r>
      <w:r>
        <w:rPr>
          <w:rFonts w:ascii="Arial" w:hAnsi="Arial" w:cs="Arial"/>
          <w:color w:val="000000"/>
        </w:rPr>
        <w:t>2017</w:t>
      </w:r>
      <w:r>
        <w:rPr>
          <w:rFonts w:ascii="Arial" w:hAnsi="Arial" w:cs="Arial"/>
          <w:color w:val="000000"/>
        </w:rPr>
        <w:t>〕</w:t>
      </w:r>
      <w:r>
        <w:rPr>
          <w:rFonts w:ascii="Arial" w:hAnsi="Arial" w:cs="Arial"/>
          <w:color w:val="000000"/>
        </w:rPr>
        <w:t>3</w:t>
      </w:r>
      <w:r>
        <w:rPr>
          <w:rFonts w:ascii="Arial" w:hAnsi="Arial" w:cs="Arial"/>
          <w:color w:val="000000"/>
        </w:rPr>
        <w:t>号）和《嘉兴市人民政府关于进一步推动科技创新的若干政策意见》（嘉政发〔</w:t>
      </w:r>
      <w:r>
        <w:rPr>
          <w:rFonts w:ascii="Arial" w:hAnsi="Arial" w:cs="Arial"/>
          <w:color w:val="000000"/>
        </w:rPr>
        <w:t>2017</w:t>
      </w:r>
      <w:r>
        <w:rPr>
          <w:rFonts w:ascii="Arial" w:hAnsi="Arial" w:cs="Arial"/>
          <w:color w:val="000000"/>
        </w:rPr>
        <w:t>〕</w:t>
      </w:r>
      <w:r>
        <w:rPr>
          <w:rFonts w:ascii="Arial" w:hAnsi="Arial" w:cs="Arial"/>
          <w:color w:val="000000"/>
        </w:rPr>
        <w:t>3</w:t>
      </w:r>
      <w:r>
        <w:rPr>
          <w:rFonts w:ascii="Arial" w:hAnsi="Arial" w:cs="Arial"/>
          <w:color w:val="000000"/>
        </w:rPr>
        <w:t>号），深化科技经费管理制度改革，推进科技资源开放共享，推动大众创业、万众创新，嘉兴市科技局、嘉兴市财政局根据省《关于进一步推广应用创新券</w:t>
      </w:r>
      <w:r>
        <w:rPr>
          <w:rFonts w:ascii="Arial" w:hAnsi="Arial" w:cs="Arial"/>
          <w:color w:val="000000"/>
        </w:rPr>
        <w:t xml:space="preserve"> </w:t>
      </w:r>
      <w:r>
        <w:rPr>
          <w:rFonts w:ascii="Arial" w:hAnsi="Arial" w:cs="Arial"/>
          <w:color w:val="000000"/>
        </w:rPr>
        <w:t>推动大众创业万众创新的若干意见》（浙科发条〔</w:t>
      </w:r>
      <w:r>
        <w:rPr>
          <w:rFonts w:ascii="Arial" w:hAnsi="Arial" w:cs="Arial"/>
          <w:color w:val="000000"/>
        </w:rPr>
        <w:t>2017</w:t>
      </w:r>
      <w:r>
        <w:rPr>
          <w:rFonts w:ascii="Arial" w:hAnsi="Arial" w:cs="Arial"/>
          <w:color w:val="000000"/>
        </w:rPr>
        <w:t>〕</w:t>
      </w:r>
      <w:r>
        <w:rPr>
          <w:rFonts w:ascii="Arial" w:hAnsi="Arial" w:cs="Arial"/>
          <w:color w:val="000000"/>
        </w:rPr>
        <w:t>70</w:t>
      </w:r>
      <w:r>
        <w:rPr>
          <w:rFonts w:ascii="Arial" w:hAnsi="Arial" w:cs="Arial"/>
          <w:color w:val="000000"/>
        </w:rPr>
        <w:t>号）制定本实施意见。</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第二条</w:t>
      </w:r>
      <w:r>
        <w:rPr>
          <w:rFonts w:ascii="Arial" w:hAnsi="Arial" w:cs="Arial"/>
          <w:color w:val="000000"/>
        </w:rPr>
        <w:t xml:space="preserve"> </w:t>
      </w:r>
      <w:r>
        <w:rPr>
          <w:rFonts w:ascii="Arial" w:hAnsi="Arial" w:cs="Arial"/>
          <w:color w:val="000000"/>
        </w:rPr>
        <w:t>创新券是政府向企业、创业者无偿发放，用于向科技服务机构购买技术创新服务、自主开展技术创新活动的一种</w:t>
      </w:r>
      <w:r>
        <w:rPr>
          <w:rFonts w:ascii="Arial" w:hAnsi="Arial" w:cs="Arial"/>
          <w:color w:val="000000"/>
        </w:rPr>
        <w:t>“</w:t>
      </w:r>
      <w:r>
        <w:rPr>
          <w:rFonts w:ascii="Arial" w:hAnsi="Arial" w:cs="Arial"/>
          <w:color w:val="000000"/>
        </w:rPr>
        <w:t>有价凭证</w:t>
      </w:r>
      <w:r>
        <w:rPr>
          <w:rFonts w:ascii="Arial" w:hAnsi="Arial" w:cs="Arial"/>
          <w:color w:val="000000"/>
        </w:rPr>
        <w:t>”</w:t>
      </w:r>
      <w:r>
        <w:rPr>
          <w:rFonts w:ascii="Arial" w:hAnsi="Arial" w:cs="Arial"/>
          <w:color w:val="000000"/>
        </w:rPr>
        <w:t>。创新券支持范围覆盖技术创新全过程，但不与其他科技计划项目重复资助。</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第三条</w:t>
      </w:r>
      <w:r>
        <w:rPr>
          <w:rFonts w:ascii="Arial" w:hAnsi="Arial" w:cs="Arial"/>
          <w:color w:val="000000"/>
        </w:rPr>
        <w:t xml:space="preserve"> </w:t>
      </w:r>
      <w:r>
        <w:rPr>
          <w:rFonts w:ascii="Arial" w:hAnsi="Arial" w:cs="Arial"/>
          <w:color w:val="000000"/>
        </w:rPr>
        <w:t>创新券的使用和管理须遵守国家有关的法律法规、行政法规和财务规章制度，遵循诚实申请、择优支持、公开透明、专款专用的原则。</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第四条</w:t>
      </w:r>
      <w:r>
        <w:rPr>
          <w:rFonts w:ascii="Arial" w:hAnsi="Arial" w:cs="Arial"/>
          <w:color w:val="000000"/>
        </w:rPr>
        <w:t xml:space="preserve"> </w:t>
      </w:r>
      <w:r>
        <w:rPr>
          <w:rFonts w:ascii="Arial" w:hAnsi="Arial" w:cs="Arial"/>
          <w:color w:val="000000"/>
        </w:rPr>
        <w:t>市科技局、市财政局共同组织实施创新券的工作，南湖区、秀洲区、嘉兴经济技术开发区、嘉兴港区</w:t>
      </w:r>
      <w:r>
        <w:rPr>
          <w:rFonts w:ascii="Arial" w:hAnsi="Arial" w:cs="Arial"/>
          <w:color w:val="000000"/>
        </w:rPr>
        <w:t>(</w:t>
      </w:r>
      <w:r>
        <w:rPr>
          <w:rFonts w:ascii="Arial" w:hAnsi="Arial" w:cs="Arial"/>
          <w:color w:val="000000"/>
        </w:rPr>
        <w:t>以下简称各区</w:t>
      </w:r>
      <w:r>
        <w:rPr>
          <w:rFonts w:ascii="Arial" w:hAnsi="Arial" w:cs="Arial"/>
          <w:color w:val="000000"/>
        </w:rPr>
        <w:t>)</w:t>
      </w:r>
      <w:r>
        <w:rPr>
          <w:rFonts w:ascii="Arial" w:hAnsi="Arial" w:cs="Arial"/>
          <w:color w:val="000000"/>
        </w:rPr>
        <w:t>向企业和创业者直接发放、兑现创新券，市级不直接发放，以奖补方式将经费下达给各区。</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第五条</w:t>
      </w:r>
      <w:r>
        <w:rPr>
          <w:rFonts w:ascii="Arial" w:hAnsi="Arial" w:cs="Arial"/>
          <w:color w:val="000000"/>
        </w:rPr>
        <w:t xml:space="preserve"> </w:t>
      </w:r>
      <w:r>
        <w:rPr>
          <w:rFonts w:ascii="Arial" w:hAnsi="Arial" w:cs="Arial"/>
          <w:color w:val="000000"/>
        </w:rPr>
        <w:t>各区根据实际情况深化科技经费使用改革，对企业技术创新活动采用创新券政策支持，各区科技、财政部门负责制定创新券管理和实施细则。</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第二章</w:t>
      </w:r>
      <w:r>
        <w:rPr>
          <w:rFonts w:ascii="Arial" w:hAnsi="Arial" w:cs="Arial"/>
          <w:color w:val="000000"/>
        </w:rPr>
        <w:t xml:space="preserve">  </w:t>
      </w:r>
      <w:r>
        <w:rPr>
          <w:rFonts w:ascii="Arial" w:hAnsi="Arial" w:cs="Arial"/>
          <w:color w:val="000000"/>
        </w:rPr>
        <w:t>对象与范围</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第六条</w:t>
      </w:r>
      <w:r>
        <w:rPr>
          <w:rFonts w:ascii="Arial" w:hAnsi="Arial" w:cs="Arial"/>
          <w:color w:val="000000"/>
        </w:rPr>
        <w:t xml:space="preserve"> </w:t>
      </w:r>
      <w:r>
        <w:rPr>
          <w:rFonts w:ascii="Arial" w:hAnsi="Arial" w:cs="Arial"/>
          <w:color w:val="000000"/>
        </w:rPr>
        <w:t>创新券支持对象是具有创新需求的，在市本级注册的，具备独立法人资格、财务管理规范、无不良诚信记录，与开展科技合作的创新载体无任何隶属、共建、产权纽带等关联关系的企业以及在各级科技企业孵化器、大学科技园、众创空间等泛孵化器的创业者。优先支持在各类创业创新大赛取得名次的企业和创业者。</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第七条</w:t>
      </w:r>
      <w:r>
        <w:rPr>
          <w:rFonts w:ascii="Arial" w:hAnsi="Arial" w:cs="Arial"/>
          <w:color w:val="000000"/>
        </w:rPr>
        <w:t xml:space="preserve"> </w:t>
      </w:r>
      <w:r>
        <w:rPr>
          <w:rFonts w:ascii="Arial" w:hAnsi="Arial" w:cs="Arial"/>
          <w:color w:val="000000"/>
        </w:rPr>
        <w:t>经</w:t>
      </w:r>
      <w:r>
        <w:rPr>
          <w:rFonts w:ascii="Arial" w:hAnsi="Arial" w:cs="Arial"/>
          <w:color w:val="000000"/>
        </w:rPr>
        <w:t>“</w:t>
      </w:r>
      <w:r>
        <w:rPr>
          <w:rFonts w:ascii="Arial" w:hAnsi="Arial" w:cs="Arial"/>
          <w:color w:val="000000"/>
        </w:rPr>
        <w:t>浙江省科技创新云服务平台</w:t>
      </w:r>
      <w:r>
        <w:rPr>
          <w:rFonts w:ascii="Arial" w:hAnsi="Arial" w:cs="Arial"/>
          <w:color w:val="000000"/>
        </w:rPr>
        <w:t>”</w:t>
      </w:r>
      <w:r>
        <w:rPr>
          <w:rFonts w:ascii="Arial" w:hAnsi="Arial" w:cs="Arial"/>
          <w:color w:val="000000"/>
        </w:rPr>
        <w:t>（以下简称</w:t>
      </w:r>
      <w:r>
        <w:rPr>
          <w:rFonts w:ascii="Arial" w:hAnsi="Arial" w:cs="Arial"/>
          <w:color w:val="000000"/>
        </w:rPr>
        <w:t>“</w:t>
      </w:r>
      <w:r>
        <w:rPr>
          <w:rFonts w:ascii="Arial" w:hAnsi="Arial" w:cs="Arial"/>
          <w:color w:val="000000"/>
        </w:rPr>
        <w:t>云服务平台</w:t>
      </w:r>
      <w:r>
        <w:rPr>
          <w:rFonts w:ascii="Arial" w:hAnsi="Arial" w:cs="Arial"/>
          <w:color w:val="000000"/>
        </w:rPr>
        <w:t>”</w:t>
      </w:r>
      <w:r>
        <w:rPr>
          <w:rFonts w:ascii="Arial" w:hAnsi="Arial" w:cs="Arial"/>
          <w:color w:val="000000"/>
        </w:rPr>
        <w:t>）注册登记的科研院所、高等院校、科技创新服务平台、重点企业研究院、重点实验室等创新载体是创新券的主要接收对象。</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第八条</w:t>
      </w:r>
      <w:r>
        <w:rPr>
          <w:rFonts w:ascii="Arial" w:hAnsi="Arial" w:cs="Arial"/>
          <w:color w:val="000000"/>
        </w:rPr>
        <w:t xml:space="preserve"> </w:t>
      </w:r>
      <w:r>
        <w:rPr>
          <w:rFonts w:ascii="Arial" w:hAnsi="Arial" w:cs="Arial"/>
          <w:color w:val="000000"/>
        </w:rPr>
        <w:t>创新券支持范围是各级各类创新载体（含市外的创新载体）为本市的企业和创业者提供的合作开发、委托开发、科技评估、技术查新、测试分析、产品设计、技术培训、知识产权服务（专利代理、专利分析评估、专利质押、专利保险、专利纠纷服务）等，可参照《财政部</w:t>
      </w:r>
      <w:r>
        <w:rPr>
          <w:rFonts w:ascii="Arial" w:hAnsi="Arial" w:cs="Arial"/>
          <w:color w:val="000000"/>
        </w:rPr>
        <w:t xml:space="preserve"> </w:t>
      </w:r>
      <w:r>
        <w:rPr>
          <w:rFonts w:ascii="Arial" w:hAnsi="Arial" w:cs="Arial"/>
          <w:color w:val="000000"/>
        </w:rPr>
        <w:t>国家税务总局关于全面推开营业税改征增值税试点的通知》（财税〔</w:t>
      </w:r>
      <w:r>
        <w:rPr>
          <w:rFonts w:ascii="Arial" w:hAnsi="Arial" w:cs="Arial"/>
          <w:color w:val="000000"/>
        </w:rPr>
        <w:t>2016</w:t>
      </w:r>
      <w:r>
        <w:rPr>
          <w:rFonts w:ascii="Arial" w:hAnsi="Arial" w:cs="Arial"/>
          <w:color w:val="000000"/>
        </w:rPr>
        <w:t>〕</w:t>
      </w:r>
      <w:r>
        <w:rPr>
          <w:rFonts w:ascii="Arial" w:hAnsi="Arial" w:cs="Arial"/>
          <w:color w:val="000000"/>
        </w:rPr>
        <w:t>36</w:t>
      </w:r>
      <w:r>
        <w:rPr>
          <w:rFonts w:ascii="Arial" w:hAnsi="Arial" w:cs="Arial"/>
          <w:color w:val="000000"/>
        </w:rPr>
        <w:t>号）规定的内容确定具体范围。按照法律法规或者强制性标准要求开展的强制检测和法定检测等其他商业活动，或已列入各级科技计划、科技型中小企业扶持、网上技术市场成交项目补助、国内发明专利授权补助等其他科技计划项目支持的不再纳入创新券支持范围。</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第三章</w:t>
      </w:r>
      <w:r>
        <w:rPr>
          <w:rFonts w:ascii="Arial" w:hAnsi="Arial" w:cs="Arial"/>
          <w:color w:val="000000"/>
        </w:rPr>
        <w:t xml:space="preserve">  </w:t>
      </w:r>
      <w:r>
        <w:rPr>
          <w:rFonts w:ascii="Arial" w:hAnsi="Arial" w:cs="Arial"/>
          <w:color w:val="000000"/>
        </w:rPr>
        <w:t>使用与兑付</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第九条</w:t>
      </w:r>
      <w:r>
        <w:rPr>
          <w:rFonts w:ascii="Arial" w:hAnsi="Arial" w:cs="Arial"/>
          <w:color w:val="000000"/>
        </w:rPr>
        <w:t xml:space="preserve"> </w:t>
      </w:r>
      <w:r>
        <w:rPr>
          <w:rFonts w:ascii="Arial" w:hAnsi="Arial" w:cs="Arial"/>
          <w:color w:val="000000"/>
        </w:rPr>
        <w:t>依托</w:t>
      </w:r>
      <w:r>
        <w:rPr>
          <w:rFonts w:ascii="Arial" w:hAnsi="Arial" w:cs="Arial"/>
          <w:color w:val="000000"/>
        </w:rPr>
        <w:t>“</w:t>
      </w:r>
      <w:r>
        <w:rPr>
          <w:rFonts w:ascii="Arial" w:hAnsi="Arial" w:cs="Arial"/>
          <w:color w:val="000000"/>
        </w:rPr>
        <w:t>云服务平台</w:t>
      </w:r>
      <w:r>
        <w:rPr>
          <w:rFonts w:ascii="Arial" w:hAnsi="Arial" w:cs="Arial"/>
          <w:color w:val="000000"/>
        </w:rPr>
        <w:t>”</w:t>
      </w:r>
      <w:r>
        <w:rPr>
          <w:rFonts w:ascii="Arial" w:hAnsi="Arial" w:cs="Arial"/>
          <w:color w:val="000000"/>
        </w:rPr>
        <w:t>推广应用创新券，创新券申领、兑付等环节均通过云服务平台在线进行。企业和创业者可以通过云服务平台查询开放共享的科研基础设施、仪器设备，并在线预约技术创新服务。</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lastRenderedPageBreak/>
        <w:t xml:space="preserve">　　第十条</w:t>
      </w:r>
      <w:r>
        <w:rPr>
          <w:rFonts w:ascii="Arial" w:hAnsi="Arial" w:cs="Arial"/>
          <w:color w:val="000000"/>
        </w:rPr>
        <w:t xml:space="preserve"> </w:t>
      </w:r>
      <w:r>
        <w:rPr>
          <w:rFonts w:ascii="Arial" w:hAnsi="Arial" w:cs="Arial"/>
          <w:color w:val="000000"/>
        </w:rPr>
        <w:t>创新券原则上</w:t>
      </w:r>
      <w:r>
        <w:rPr>
          <w:rFonts w:ascii="Arial" w:hAnsi="Arial" w:cs="Arial"/>
          <w:color w:val="000000"/>
        </w:rPr>
        <w:t>“</w:t>
      </w:r>
      <w:r>
        <w:rPr>
          <w:rFonts w:ascii="Arial" w:hAnsi="Arial" w:cs="Arial"/>
          <w:color w:val="000000"/>
        </w:rPr>
        <w:t>先领先得、见票即兑</w:t>
      </w:r>
      <w:r>
        <w:rPr>
          <w:rFonts w:ascii="Arial" w:hAnsi="Arial" w:cs="Arial"/>
          <w:color w:val="000000"/>
        </w:rPr>
        <w:t>”</w:t>
      </w:r>
      <w:r>
        <w:rPr>
          <w:rFonts w:ascii="Arial" w:hAnsi="Arial" w:cs="Arial"/>
          <w:color w:val="000000"/>
        </w:rPr>
        <w:t>。企业凭营业执照、创业者凭身份证完成云服务平台用户注册，企业、创业者依据技术创新需求适时领取一定额度的创新券。创新券使用有效期限为</w:t>
      </w:r>
      <w:r>
        <w:rPr>
          <w:rFonts w:ascii="Arial" w:hAnsi="Arial" w:cs="Arial"/>
          <w:color w:val="000000"/>
        </w:rPr>
        <w:t>3</w:t>
      </w:r>
      <w:r>
        <w:rPr>
          <w:rFonts w:ascii="Arial" w:hAnsi="Arial" w:cs="Arial"/>
          <w:color w:val="000000"/>
        </w:rPr>
        <w:t>个月，过期收回，申报周期内每个企业、创业者可多次申领创新券。原则上在申报周期内每个企业最高申领额度一般不超过</w:t>
      </w:r>
      <w:r>
        <w:rPr>
          <w:rFonts w:ascii="Arial" w:hAnsi="Arial" w:cs="Arial"/>
          <w:color w:val="000000"/>
        </w:rPr>
        <w:t>20</w:t>
      </w:r>
      <w:r>
        <w:rPr>
          <w:rFonts w:ascii="Arial" w:hAnsi="Arial" w:cs="Arial"/>
          <w:color w:val="000000"/>
        </w:rPr>
        <w:t>万元，每个创业者最高申领额度一般不超过</w:t>
      </w:r>
      <w:r>
        <w:rPr>
          <w:rFonts w:ascii="Arial" w:hAnsi="Arial" w:cs="Arial"/>
          <w:color w:val="000000"/>
        </w:rPr>
        <w:t>10</w:t>
      </w:r>
      <w:r>
        <w:rPr>
          <w:rFonts w:ascii="Arial" w:hAnsi="Arial" w:cs="Arial"/>
          <w:color w:val="000000"/>
        </w:rPr>
        <w:t>万元，各区根据当地实际也可自主确定最高申领额度和单项技术合同支持比率。各区科技、财政部门依据创新载体和企业在线提供的技术合同、发票、服务结果凭证（如查新报告、检验检测报告）等关键证明材料即时兑付，原则上每月安排兑付</w:t>
      </w:r>
      <w:r>
        <w:rPr>
          <w:rFonts w:ascii="Arial" w:hAnsi="Arial" w:cs="Arial"/>
          <w:color w:val="000000"/>
        </w:rPr>
        <w:t>1</w:t>
      </w:r>
      <w:r>
        <w:rPr>
          <w:rFonts w:ascii="Arial" w:hAnsi="Arial" w:cs="Arial"/>
          <w:color w:val="000000"/>
        </w:rPr>
        <w:t>次。</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第四章</w:t>
      </w:r>
      <w:r>
        <w:rPr>
          <w:rFonts w:ascii="Arial" w:hAnsi="Arial" w:cs="Arial"/>
          <w:color w:val="000000"/>
        </w:rPr>
        <w:t xml:space="preserve">  </w:t>
      </w:r>
      <w:r>
        <w:rPr>
          <w:rFonts w:ascii="Arial" w:hAnsi="Arial" w:cs="Arial"/>
          <w:color w:val="000000"/>
        </w:rPr>
        <w:t>补助与奖励</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第十一条</w:t>
      </w:r>
      <w:r>
        <w:rPr>
          <w:rFonts w:ascii="Arial" w:hAnsi="Arial" w:cs="Arial"/>
          <w:color w:val="000000"/>
        </w:rPr>
        <w:t xml:space="preserve"> </w:t>
      </w:r>
      <w:r>
        <w:rPr>
          <w:rFonts w:ascii="Arial" w:hAnsi="Arial" w:cs="Arial"/>
          <w:color w:val="000000"/>
        </w:rPr>
        <w:t>财政性资金为主建设的创新载体对外提供开放共享服务，可以按照成本补偿和非盈利性原则收取材料消耗费和水、电等运行费，还可以根据人力成本收取服务费。创新载体服务企业的情况要实时在云服务平台进行登记。</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第十二条</w:t>
      </w:r>
      <w:r>
        <w:rPr>
          <w:rFonts w:ascii="Arial" w:hAnsi="Arial" w:cs="Arial"/>
          <w:color w:val="000000"/>
        </w:rPr>
        <w:t xml:space="preserve"> </w:t>
      </w:r>
      <w:r>
        <w:rPr>
          <w:rFonts w:ascii="Arial" w:hAnsi="Arial" w:cs="Arial"/>
          <w:color w:val="000000"/>
        </w:rPr>
        <w:t>根据开放共享及创新券使用实效，市科技、财政部门对市级创新载体按照政策支持范围内的上年度实际兑付总额不超过</w:t>
      </w:r>
      <w:r>
        <w:rPr>
          <w:rFonts w:ascii="Arial" w:hAnsi="Arial" w:cs="Arial"/>
          <w:color w:val="000000"/>
        </w:rPr>
        <w:t>30%</w:t>
      </w:r>
      <w:r>
        <w:rPr>
          <w:rFonts w:ascii="Arial" w:hAnsi="Arial" w:cs="Arial"/>
          <w:color w:val="000000"/>
        </w:rPr>
        <w:t>给予补助。鼓励各区对属地的创新载体进行补助。</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第十三条</w:t>
      </w:r>
      <w:r>
        <w:rPr>
          <w:rFonts w:ascii="Arial" w:hAnsi="Arial" w:cs="Arial"/>
          <w:color w:val="000000"/>
        </w:rPr>
        <w:t xml:space="preserve"> </w:t>
      </w:r>
      <w:r>
        <w:rPr>
          <w:rFonts w:ascii="Arial" w:hAnsi="Arial" w:cs="Arial"/>
          <w:color w:val="000000"/>
        </w:rPr>
        <w:t>市财政以各区推广应用创新券制定的政策制度、财政支持力度、服务效率和使用、兑付额度等因素择优给予不超过实际使用创新券总额</w:t>
      </w:r>
      <w:r>
        <w:rPr>
          <w:rFonts w:ascii="Arial" w:hAnsi="Arial" w:cs="Arial"/>
          <w:color w:val="000000"/>
        </w:rPr>
        <w:t>50%</w:t>
      </w:r>
      <w:r>
        <w:rPr>
          <w:rFonts w:ascii="Arial" w:hAnsi="Arial" w:cs="Arial"/>
          <w:color w:val="000000"/>
        </w:rPr>
        <w:t>的奖补，奖补经费由各区统筹用于创新券的推广工作。</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第十四条</w:t>
      </w:r>
      <w:r>
        <w:rPr>
          <w:rFonts w:ascii="Arial" w:hAnsi="Arial" w:cs="Arial"/>
          <w:color w:val="000000"/>
        </w:rPr>
        <w:t xml:space="preserve"> </w:t>
      </w:r>
      <w:r>
        <w:rPr>
          <w:rFonts w:ascii="Arial" w:hAnsi="Arial" w:cs="Arial"/>
          <w:color w:val="000000"/>
        </w:rPr>
        <w:t>各级各类创新载体创新券收入面额以内不分来源按横向经费进行管理。财政补助资金作为后补助，各单位在符合财政资金管理要求的前提下统筹安排，可以优先用于弥补服务成本，以及仪器设备的维护维修。</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第五章</w:t>
      </w:r>
      <w:r>
        <w:rPr>
          <w:rFonts w:ascii="Arial" w:hAnsi="Arial" w:cs="Arial"/>
          <w:color w:val="000000"/>
        </w:rPr>
        <w:t xml:space="preserve">  </w:t>
      </w:r>
      <w:r>
        <w:rPr>
          <w:rFonts w:ascii="Arial" w:hAnsi="Arial" w:cs="Arial"/>
          <w:color w:val="000000"/>
        </w:rPr>
        <w:t>管理与监督</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第十五条</w:t>
      </w:r>
      <w:r>
        <w:rPr>
          <w:rFonts w:ascii="Arial" w:hAnsi="Arial" w:cs="Arial"/>
          <w:color w:val="000000"/>
        </w:rPr>
        <w:t xml:space="preserve"> </w:t>
      </w:r>
      <w:r>
        <w:rPr>
          <w:rFonts w:ascii="Arial" w:hAnsi="Arial" w:cs="Arial"/>
          <w:color w:val="000000"/>
        </w:rPr>
        <w:t>创新券使用情况实行按季通报并将其纳入党政考核党政领导科技进步目标责任考核、科技工作先进集体和先进个人评选的重要内容。</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第十六条</w:t>
      </w:r>
      <w:r>
        <w:rPr>
          <w:rFonts w:ascii="Arial" w:hAnsi="Arial" w:cs="Arial"/>
          <w:color w:val="000000"/>
        </w:rPr>
        <w:t xml:space="preserve"> </w:t>
      </w:r>
      <w:r>
        <w:rPr>
          <w:rFonts w:ascii="Arial" w:hAnsi="Arial" w:cs="Arial"/>
          <w:color w:val="000000"/>
        </w:rPr>
        <w:t>对不按规定公开和开放信息、开放效果差、使用效率低的市级创新载体予以通报，并在新购仪器设备、申报市级及以上科技计划项目等方面予以约束。鼓励社会对市级创新载体开放共享情况进行监督。</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第十七条</w:t>
      </w:r>
      <w:r>
        <w:rPr>
          <w:rFonts w:ascii="Arial" w:hAnsi="Arial" w:cs="Arial"/>
          <w:color w:val="000000"/>
        </w:rPr>
        <w:t xml:space="preserve"> </w:t>
      </w:r>
      <w:r>
        <w:rPr>
          <w:rFonts w:ascii="Arial" w:hAnsi="Arial" w:cs="Arial"/>
          <w:color w:val="000000"/>
        </w:rPr>
        <w:t>科技资源的依托单位是科技资源向社会开放的责任主体，要强化法人责任，切实履行开放职责，自觉接受相关部门的考核评估和社会监督。</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第十八条</w:t>
      </w:r>
      <w:r>
        <w:rPr>
          <w:rFonts w:ascii="Arial" w:hAnsi="Arial" w:cs="Arial"/>
          <w:color w:val="000000"/>
        </w:rPr>
        <w:t xml:space="preserve"> </w:t>
      </w:r>
      <w:r>
        <w:rPr>
          <w:rFonts w:ascii="Arial" w:hAnsi="Arial" w:cs="Arial"/>
          <w:color w:val="000000"/>
        </w:rPr>
        <w:t>创新券实行实名制，不得转让、买卖，不重复使用，使用和管理遵守国家有关法律、法规和规章制度，不得提供虚假信息。对通过创新券骗取财政资金的企业、创业者和各级各类创新载体，将根据《财政违法行为处罚处分条例》，视情节轻重对有关责任单位、责任人实行限期整改、给予警告、停拨或追回财政资金；依据有关规定，列入信用</w:t>
      </w:r>
      <w:r>
        <w:rPr>
          <w:rFonts w:ascii="Arial" w:hAnsi="Arial" w:cs="Arial"/>
          <w:color w:val="000000"/>
        </w:rPr>
        <w:t>“</w:t>
      </w:r>
      <w:r>
        <w:rPr>
          <w:rFonts w:ascii="Arial" w:hAnsi="Arial" w:cs="Arial"/>
          <w:color w:val="000000"/>
        </w:rPr>
        <w:t>黑名单</w:t>
      </w:r>
      <w:r>
        <w:rPr>
          <w:rFonts w:ascii="Arial" w:hAnsi="Arial" w:cs="Arial"/>
          <w:color w:val="000000"/>
        </w:rPr>
        <w:t>”</w:t>
      </w:r>
      <w:r>
        <w:rPr>
          <w:rFonts w:ascii="Arial" w:hAnsi="Arial" w:cs="Arial"/>
          <w:color w:val="000000"/>
        </w:rPr>
        <w:t>，</w:t>
      </w:r>
      <w:r>
        <w:rPr>
          <w:rFonts w:ascii="Arial" w:hAnsi="Arial" w:cs="Arial"/>
          <w:color w:val="000000"/>
        </w:rPr>
        <w:t>3</w:t>
      </w:r>
      <w:r>
        <w:rPr>
          <w:rFonts w:ascii="Arial" w:hAnsi="Arial" w:cs="Arial"/>
          <w:color w:val="000000"/>
        </w:rPr>
        <w:t>年内不再给予科技项目和财政科技资金支持，情节特别严重的载体予以摘牌。构成违纪的，由有关部门对责任单位或责任人处以纪律处分；涉嫌犯罪的，依法移送司法机关处理。</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第六章</w:t>
      </w:r>
      <w:r>
        <w:rPr>
          <w:rFonts w:ascii="Arial" w:hAnsi="Arial" w:cs="Arial"/>
          <w:color w:val="000000"/>
        </w:rPr>
        <w:t xml:space="preserve">  </w:t>
      </w:r>
      <w:r>
        <w:rPr>
          <w:rFonts w:ascii="Arial" w:hAnsi="Arial" w:cs="Arial"/>
          <w:color w:val="000000"/>
        </w:rPr>
        <w:t>附</w:t>
      </w:r>
      <w:r>
        <w:rPr>
          <w:rFonts w:ascii="Arial" w:hAnsi="Arial" w:cs="Arial"/>
          <w:color w:val="000000"/>
        </w:rPr>
        <w:t xml:space="preserve"> </w:t>
      </w:r>
      <w:r>
        <w:rPr>
          <w:rFonts w:ascii="Arial" w:hAnsi="Arial" w:cs="Arial"/>
          <w:color w:val="000000"/>
        </w:rPr>
        <w:t>则</w:t>
      </w:r>
    </w:p>
    <w:p w:rsidR="001F5788" w:rsidRDefault="001F5788" w:rsidP="001F5788">
      <w:pPr>
        <w:pStyle w:val="a5"/>
        <w:spacing w:before="75" w:beforeAutospacing="0" w:after="75" w:afterAutospacing="0"/>
        <w:rPr>
          <w:rFonts w:ascii="Arial" w:hAnsi="Arial" w:cs="Arial"/>
          <w:color w:val="000000"/>
        </w:rPr>
      </w:pPr>
      <w:r>
        <w:rPr>
          <w:rFonts w:ascii="Arial" w:hAnsi="Arial" w:cs="Arial"/>
          <w:color w:val="000000"/>
        </w:rPr>
        <w:t xml:space="preserve">　　第十九条</w:t>
      </w:r>
      <w:r>
        <w:rPr>
          <w:rFonts w:ascii="Arial" w:hAnsi="Arial" w:cs="Arial"/>
          <w:color w:val="000000"/>
        </w:rPr>
        <w:t xml:space="preserve"> </w:t>
      </w:r>
      <w:r>
        <w:rPr>
          <w:rFonts w:ascii="Arial" w:hAnsi="Arial" w:cs="Arial"/>
          <w:color w:val="000000"/>
        </w:rPr>
        <w:t>本实施意见自发布之日起实行，由市科技局、市财政局负责解释。原《嘉兴市级创新券实施管理办法（试行）》（嘉科综〔</w:t>
      </w:r>
      <w:r>
        <w:rPr>
          <w:rFonts w:ascii="Arial" w:hAnsi="Arial" w:cs="Arial"/>
          <w:color w:val="000000"/>
        </w:rPr>
        <w:t>2015</w:t>
      </w:r>
      <w:r>
        <w:rPr>
          <w:rFonts w:ascii="Arial" w:hAnsi="Arial" w:cs="Arial"/>
          <w:color w:val="000000"/>
        </w:rPr>
        <w:t>〕</w:t>
      </w:r>
      <w:r>
        <w:rPr>
          <w:rFonts w:ascii="Arial" w:hAnsi="Arial" w:cs="Arial"/>
          <w:color w:val="000000"/>
        </w:rPr>
        <w:t>69</w:t>
      </w:r>
      <w:r>
        <w:rPr>
          <w:rFonts w:ascii="Arial" w:hAnsi="Arial" w:cs="Arial"/>
          <w:color w:val="000000"/>
        </w:rPr>
        <w:t>号）同时废止。</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66A" w:rsidRDefault="00ED766A" w:rsidP="001F5788">
      <w:pPr>
        <w:spacing w:after="0"/>
      </w:pPr>
      <w:r>
        <w:separator/>
      </w:r>
    </w:p>
  </w:endnote>
  <w:endnote w:type="continuationSeparator" w:id="0">
    <w:p w:rsidR="00ED766A" w:rsidRDefault="00ED766A" w:rsidP="001F578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66A" w:rsidRDefault="00ED766A" w:rsidP="001F5788">
      <w:pPr>
        <w:spacing w:after="0"/>
      </w:pPr>
      <w:r>
        <w:separator/>
      </w:r>
    </w:p>
  </w:footnote>
  <w:footnote w:type="continuationSeparator" w:id="0">
    <w:p w:rsidR="00ED766A" w:rsidRDefault="00ED766A" w:rsidP="001F57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F5788"/>
    <w:rsid w:val="00323B43"/>
    <w:rsid w:val="003D37D8"/>
    <w:rsid w:val="00426133"/>
    <w:rsid w:val="004358AB"/>
    <w:rsid w:val="00722345"/>
    <w:rsid w:val="008B7726"/>
    <w:rsid w:val="00D31D50"/>
    <w:rsid w:val="00ED7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icrosoft YaHei"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788"/>
    <w:pPr>
      <w:pBdr>
        <w:bottom w:val="single" w:sz="6" w:space="1" w:color="auto"/>
      </w:pBdr>
      <w:tabs>
        <w:tab w:val="center" w:pos="4513"/>
        <w:tab w:val="right" w:pos="9026"/>
      </w:tabs>
      <w:jc w:val="center"/>
    </w:pPr>
    <w:rPr>
      <w:sz w:val="18"/>
      <w:szCs w:val="18"/>
    </w:rPr>
  </w:style>
  <w:style w:type="character" w:customStyle="1" w:styleId="Char">
    <w:name w:val="页眉 Char"/>
    <w:basedOn w:val="a0"/>
    <w:link w:val="a3"/>
    <w:uiPriority w:val="99"/>
    <w:semiHidden/>
    <w:rsid w:val="001F5788"/>
    <w:rPr>
      <w:rFonts w:ascii="Tahoma" w:hAnsi="Tahoma"/>
      <w:sz w:val="18"/>
      <w:szCs w:val="18"/>
    </w:rPr>
  </w:style>
  <w:style w:type="paragraph" w:styleId="a4">
    <w:name w:val="footer"/>
    <w:basedOn w:val="a"/>
    <w:link w:val="Char0"/>
    <w:uiPriority w:val="99"/>
    <w:semiHidden/>
    <w:unhideWhenUsed/>
    <w:rsid w:val="001F5788"/>
    <w:pPr>
      <w:tabs>
        <w:tab w:val="center" w:pos="4513"/>
        <w:tab w:val="right" w:pos="9026"/>
      </w:tabs>
    </w:pPr>
    <w:rPr>
      <w:sz w:val="18"/>
      <w:szCs w:val="18"/>
    </w:rPr>
  </w:style>
  <w:style w:type="character" w:customStyle="1" w:styleId="Char0">
    <w:name w:val="页脚 Char"/>
    <w:basedOn w:val="a0"/>
    <w:link w:val="a4"/>
    <w:uiPriority w:val="99"/>
    <w:semiHidden/>
    <w:rsid w:val="001F5788"/>
    <w:rPr>
      <w:rFonts w:ascii="Tahoma" w:hAnsi="Tahoma"/>
      <w:sz w:val="18"/>
      <w:szCs w:val="18"/>
    </w:rPr>
  </w:style>
  <w:style w:type="paragraph" w:styleId="a5">
    <w:name w:val="Normal (Web)"/>
    <w:basedOn w:val="a"/>
    <w:uiPriority w:val="99"/>
    <w:semiHidden/>
    <w:unhideWhenUsed/>
    <w:rsid w:val="001F5788"/>
    <w:pPr>
      <w:adjustRightInd/>
      <w:snapToGrid/>
      <w:spacing w:before="100" w:beforeAutospacing="1" w:after="100" w:afterAutospacing="1"/>
    </w:pPr>
    <w:rPr>
      <w:rFonts w:ascii="SimSun" w:eastAsia="SimSun" w:hAnsi="SimSun" w:cs="SimSun"/>
      <w:sz w:val="24"/>
      <w:szCs w:val="24"/>
    </w:rPr>
  </w:style>
</w:styles>
</file>

<file path=word/webSettings.xml><?xml version="1.0" encoding="utf-8"?>
<w:webSettings xmlns:r="http://schemas.openxmlformats.org/officeDocument/2006/relationships" xmlns:w="http://schemas.openxmlformats.org/wordprocessingml/2006/main">
  <w:divs>
    <w:div w:id="468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2018-04-12T08:34:00Z</dcterms:modified>
</cp:coreProperties>
</file>